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B5206" w14:textId="77777777" w:rsidR="0066717D" w:rsidRDefault="0066717D" w:rsidP="0066717D">
      <w:pPr>
        <w:pStyle w:val="Heading4"/>
      </w:pPr>
      <w:r>
        <w:t xml:space="preserve">Labor rights are compatible with Afrofuturist critique of hierarchies. </w:t>
      </w:r>
    </w:p>
    <w:p w14:paraId="527660E2" w14:textId="77777777" w:rsidR="0066717D" w:rsidRPr="00342413" w:rsidRDefault="0066717D" w:rsidP="0066717D">
      <w:r>
        <w:t xml:space="preserve">Etienne C. </w:t>
      </w:r>
      <w:r w:rsidRPr="00342413">
        <w:rPr>
          <w:rStyle w:val="Style13ptBold"/>
        </w:rPr>
        <w:t>Toussaint 24</w:t>
      </w:r>
      <w:r>
        <w:t xml:space="preserve">. </w:t>
      </w:r>
      <w:r w:rsidRPr="00342413">
        <w:t>Associate Professor of Law, University of South Carolina Joseph F. Rice School of Law</w:t>
      </w:r>
      <w:r>
        <w:t xml:space="preserve"> Afrofuturism at Work: Critique &amp; Praxis, 112 GEO. L.J. 1491 (June 2024).</w:t>
      </w:r>
    </w:p>
    <w:p w14:paraId="226F9A7E" w14:textId="77777777" w:rsidR="0066717D" w:rsidRPr="00141419" w:rsidRDefault="0066717D" w:rsidP="0066717D">
      <w:r w:rsidRPr="00141419">
        <w:t xml:space="preserve">First, </w:t>
      </w:r>
      <w:r w:rsidRPr="00B019CD">
        <w:rPr>
          <w:rStyle w:val="StyleUnderline"/>
          <w:highlight w:val="cyan"/>
        </w:rPr>
        <w:t>Afrofuturists call for the disruption</w:t>
      </w:r>
      <w:r w:rsidRPr="00141419">
        <w:t xml:space="preserve"> of elitist, identity-based </w:t>
      </w:r>
      <w:r w:rsidRPr="00B019CD">
        <w:rPr>
          <w:rStyle w:val="StyleUnderline"/>
          <w:highlight w:val="cyan"/>
        </w:rPr>
        <w:t>hierarchies</w:t>
      </w:r>
      <w:r w:rsidRPr="00141419">
        <w:t xml:space="preserve"> that undermine human dignity. In the Afrofuture,36 the legacy of chattel slavery inspires an emphasis on workplace arrangements that recognize the inherent human dignity of all workers. Although the concept of </w:t>
      </w:r>
      <w:r w:rsidRPr="00B019CD">
        <w:rPr>
          <w:rStyle w:val="StyleUnderline"/>
        </w:rPr>
        <w:t xml:space="preserve">human </w:t>
      </w:r>
      <w:r w:rsidRPr="00B019CD">
        <w:rPr>
          <w:rStyle w:val="StyleUnderline"/>
          <w:highlight w:val="cyan"/>
        </w:rPr>
        <w:t>dignity</w:t>
      </w:r>
      <w:r w:rsidRPr="00B019CD">
        <w:rPr>
          <w:rStyle w:val="StyleUnderline"/>
        </w:rPr>
        <w:t xml:space="preserve"> is a </w:t>
      </w:r>
      <w:r w:rsidRPr="00B019CD">
        <w:rPr>
          <w:rStyle w:val="Emphasis"/>
          <w:highlight w:val="cyan"/>
        </w:rPr>
        <w:t>hallmark</w:t>
      </w:r>
      <w:r w:rsidRPr="00B019CD">
        <w:rPr>
          <w:rStyle w:val="StyleUnderline"/>
          <w:highlight w:val="cyan"/>
        </w:rPr>
        <w:t xml:space="preserve"> of</w:t>
      </w:r>
      <w:r w:rsidRPr="00B019CD">
        <w:rPr>
          <w:rStyle w:val="StyleUnderline"/>
        </w:rPr>
        <w:t xml:space="preserve"> international human </w:t>
      </w:r>
      <w:r w:rsidRPr="00B019CD">
        <w:rPr>
          <w:rStyle w:val="Emphasis"/>
          <w:highlight w:val="cyan"/>
        </w:rPr>
        <w:t>rights law</w:t>
      </w:r>
      <w:r w:rsidRPr="00141419">
        <w:t xml:space="preserve">, it remains undefined in U.S. constitutional jurisprudence.3 7 Building upon three popular framings of dignity as a philosophical concept, this Essay defines human dignity as an ontological conception of the human condition that emphasizes: (1) the equal human opportunity to express inherent human capacities (dignity as equality); (2) free from the unjustified constraints of others (dignity as liberty); with (3) both equality and liberty for each person mutually reinforcing the full development of an integrated personhood (dignity as integrity). 38 </w:t>
      </w:r>
      <w:r w:rsidRPr="00B019CD">
        <w:rPr>
          <w:rStyle w:val="StyleUnderline"/>
        </w:rPr>
        <w:t xml:space="preserve">Under this view, </w:t>
      </w:r>
      <w:r w:rsidRPr="00B019CD">
        <w:rPr>
          <w:rStyle w:val="StyleUnderline"/>
          <w:highlight w:val="cyan"/>
        </w:rPr>
        <w:t>social organizational</w:t>
      </w:r>
      <w:r w:rsidRPr="00B019CD">
        <w:rPr>
          <w:rStyle w:val="StyleUnderline"/>
        </w:rPr>
        <w:t xml:space="preserve"> structures </w:t>
      </w:r>
      <w:r w:rsidRPr="00B019CD">
        <w:rPr>
          <w:rStyle w:val="StyleUnderline"/>
          <w:highlight w:val="cyan"/>
        </w:rPr>
        <w:t>must respect</w:t>
      </w:r>
      <w:r w:rsidRPr="00B019CD">
        <w:rPr>
          <w:rStyle w:val="StyleUnderline"/>
        </w:rPr>
        <w:t xml:space="preserve"> the equal human dignity of all individuals who are governed by such regimes by not inhibiting their equality, liberty, and integrity</w:t>
      </w:r>
      <w:r w:rsidRPr="00141419">
        <w:t xml:space="preserve">. The Afrofuturist </w:t>
      </w:r>
      <w:r w:rsidRPr="00B019CD">
        <w:rPr>
          <w:rStyle w:val="StyleUnderline"/>
        </w:rPr>
        <w:t xml:space="preserve">critique of the modern workplace </w:t>
      </w:r>
      <w:r w:rsidRPr="00B019CD">
        <w:rPr>
          <w:rStyle w:val="StyleUnderline"/>
          <w:highlight w:val="cyan"/>
        </w:rPr>
        <w:t>reveals the importance of</w:t>
      </w:r>
      <w:r w:rsidRPr="00141419">
        <w:t xml:space="preserve"> modern </w:t>
      </w:r>
      <w:r w:rsidRPr="00B019CD">
        <w:rPr>
          <w:rStyle w:val="Emphasis"/>
          <w:sz w:val="28"/>
          <w:szCs w:val="28"/>
          <w:highlight w:val="cyan"/>
        </w:rPr>
        <w:t>debates</w:t>
      </w:r>
      <w:r w:rsidRPr="00141419">
        <w:rPr>
          <w:szCs w:val="28"/>
        </w:rPr>
        <w:t xml:space="preserve"> </w:t>
      </w:r>
      <w:r w:rsidRPr="00B019CD">
        <w:rPr>
          <w:rStyle w:val="StyleUnderline"/>
          <w:highlight w:val="cyan"/>
        </w:rPr>
        <w:t>over</w:t>
      </w:r>
      <w:r w:rsidRPr="00141419">
        <w:t xml:space="preserve"> the </w:t>
      </w:r>
      <w:r w:rsidRPr="00B019CD">
        <w:rPr>
          <w:rStyle w:val="Emphasis"/>
          <w:highlight w:val="cyan"/>
        </w:rPr>
        <w:t>ownership of firms</w:t>
      </w:r>
      <w:r w:rsidRPr="00141419">
        <w:t xml:space="preserve">, the </w:t>
      </w:r>
      <w:r w:rsidRPr="00B019CD">
        <w:rPr>
          <w:rStyle w:val="Emphasis"/>
          <w:highlight w:val="cyan"/>
        </w:rPr>
        <w:t>democratization of corporate</w:t>
      </w:r>
      <w:r w:rsidRPr="00141419">
        <w:t xml:space="preserve"> </w:t>
      </w:r>
      <w:r w:rsidRPr="00B019CD">
        <w:rPr>
          <w:rStyle w:val="Emphasis"/>
          <w:highlight w:val="cyan"/>
        </w:rPr>
        <w:t>governance</w:t>
      </w:r>
      <w:r w:rsidRPr="00141419">
        <w:t xml:space="preserve">, </w:t>
      </w:r>
      <w:r w:rsidRPr="00B019CD">
        <w:rPr>
          <w:rStyle w:val="StyleUnderline"/>
          <w:highlight w:val="cyan"/>
        </w:rPr>
        <w:t>and</w:t>
      </w:r>
      <w:r w:rsidRPr="00141419">
        <w:t xml:space="preserve"> the </w:t>
      </w:r>
      <w:r w:rsidRPr="00141419">
        <w:rPr>
          <w:rStyle w:val="Emphasis"/>
          <w:sz w:val="28"/>
          <w:szCs w:val="28"/>
          <w:highlight w:val="cyan"/>
        </w:rPr>
        <w:t>rights of labor unions</w:t>
      </w:r>
      <w:r w:rsidRPr="00141419">
        <w:t>.3 9</w:t>
      </w:r>
    </w:p>
    <w:p w14:paraId="2E8685D4" w14:textId="77777777" w:rsidR="0066717D" w:rsidRPr="00FF6C38" w:rsidRDefault="0066717D" w:rsidP="0066717D">
      <w:r w:rsidRPr="00141419">
        <w:t xml:space="preserve">Second, </w:t>
      </w:r>
      <w:r w:rsidRPr="00141419">
        <w:rPr>
          <w:rStyle w:val="StyleUnderline"/>
          <w:highlight w:val="cyan"/>
        </w:rPr>
        <w:t>Afrofuturists urge</w:t>
      </w:r>
      <w:r w:rsidRPr="00141419">
        <w:t xml:space="preserve"> the reformation of </w:t>
      </w:r>
      <w:r w:rsidRPr="00141419">
        <w:rPr>
          <w:rStyle w:val="Emphasis"/>
          <w:highlight w:val="cyan"/>
        </w:rPr>
        <w:t>legal systems</w:t>
      </w:r>
      <w:r w:rsidRPr="00141419">
        <w:t xml:space="preserve"> that foster alienation in political and economic society. The concept of alienation, a mainstay of Marxist theories of law, claims that capitalist modes of production separate laborers from the means of production, thereby inhibiting the full development of their human capabilities. 40 Physical alienation from one's labor value often leads to a much deeper spiritual alienation from one's human potential, invoking the enduring existential question: what does it mean to be human? Whereas the U.S. Declaration of Independence declares that all people "are endowed by their Creator with certain unalienable </w:t>
      </w:r>
      <w:proofErr w:type="spellStart"/>
      <w:r w:rsidRPr="00141419">
        <w:t>rights,"'I</w:t>
      </w:r>
      <w:proofErr w:type="spellEnd"/>
      <w:r w:rsidRPr="00141419">
        <w:t xml:space="preserve"> many American workers must alienate their right of self-governance in the scope of their employment. However, </w:t>
      </w:r>
      <w:r w:rsidRPr="00141419">
        <w:rPr>
          <w:rStyle w:val="StyleUnderline"/>
        </w:rPr>
        <w:t>if the individual human right to self-governance can only be delegated in the workplace</w:t>
      </w:r>
      <w:r w:rsidRPr="00141419">
        <w:t xml:space="preserve">, </w:t>
      </w:r>
      <w:r w:rsidRPr="00141419">
        <w:rPr>
          <w:rStyle w:val="StyleUnderline"/>
        </w:rPr>
        <w:t>and not alienated,</w:t>
      </w:r>
      <w:r w:rsidRPr="00141419">
        <w:t xml:space="preserve"> as this Essay contends, </w:t>
      </w:r>
      <w:r w:rsidRPr="00141419">
        <w:rPr>
          <w:rStyle w:val="StyleUnderline"/>
        </w:rPr>
        <w:t xml:space="preserve">then </w:t>
      </w:r>
      <w:r w:rsidRPr="00141419">
        <w:rPr>
          <w:rStyle w:val="StyleUnderline"/>
          <w:highlight w:val="cyan"/>
        </w:rPr>
        <w:t>workplace</w:t>
      </w:r>
      <w:r w:rsidRPr="00141419">
        <w:rPr>
          <w:rStyle w:val="StyleUnderline"/>
        </w:rPr>
        <w:t xml:space="preserve"> </w:t>
      </w:r>
      <w:r w:rsidRPr="00141419">
        <w:rPr>
          <w:rStyle w:val="StyleUnderline"/>
          <w:highlight w:val="cyan"/>
        </w:rPr>
        <w:t>arrangements that rent labor</w:t>
      </w:r>
      <w:r w:rsidRPr="00141419">
        <w:rPr>
          <w:rStyle w:val="StyleUnderline"/>
        </w:rPr>
        <w:t xml:space="preserve"> </w:t>
      </w:r>
      <w:r w:rsidRPr="00141419">
        <w:rPr>
          <w:rStyle w:val="Emphasis"/>
          <w:highlight w:val="cyan"/>
        </w:rPr>
        <w:t>without</w:t>
      </w:r>
      <w:r w:rsidRPr="00141419">
        <w:rPr>
          <w:rStyle w:val="StyleUnderline"/>
        </w:rPr>
        <w:t xml:space="preserve"> providing meaningful opportunities for </w:t>
      </w:r>
      <w:r w:rsidRPr="00141419">
        <w:rPr>
          <w:rStyle w:val="StyleUnderline"/>
          <w:highlight w:val="cyan"/>
        </w:rPr>
        <w:t>worker self-governance</w:t>
      </w:r>
      <w:r w:rsidRPr="00141419">
        <w:rPr>
          <w:rStyle w:val="StyleUnderline"/>
        </w:rPr>
        <w:t xml:space="preserve"> </w:t>
      </w:r>
      <w:r w:rsidRPr="00141419">
        <w:rPr>
          <w:rStyle w:val="Emphasis"/>
          <w:sz w:val="32"/>
          <w:szCs w:val="32"/>
          <w:highlight w:val="cyan"/>
        </w:rPr>
        <w:t>must be reformed</w:t>
      </w:r>
      <w:r w:rsidRPr="00141419">
        <w:t>.</w:t>
      </w:r>
    </w:p>
    <w:p w14:paraId="4939CC33" w14:textId="77777777" w:rsidR="0066717D" w:rsidRDefault="0066717D" w:rsidP="0066717D">
      <w:pPr>
        <w:pStyle w:val="Heading4"/>
      </w:pPr>
      <w:r>
        <w:t xml:space="preserve">Monteith is </w:t>
      </w:r>
      <w:r w:rsidRPr="00817502">
        <w:rPr>
          <w:u w:val="single"/>
        </w:rPr>
        <w:t>neg</w:t>
      </w:r>
      <w:r>
        <w:t>.</w:t>
      </w:r>
    </w:p>
    <w:p w14:paraId="495B94AC" w14:textId="77777777" w:rsidR="0066717D" w:rsidRPr="00F86FB6" w:rsidRDefault="0066717D" w:rsidP="0066717D">
      <w:pPr>
        <w:rPr>
          <w:sz w:val="12"/>
        </w:rPr>
      </w:pPr>
      <w:r w:rsidRPr="00727857">
        <w:rPr>
          <w:rStyle w:val="Style13ptBold"/>
        </w:rPr>
        <w:t>Monteith 23</w:t>
      </w:r>
      <w:r w:rsidRPr="00727857">
        <w:rPr>
          <w:sz w:val="12"/>
        </w:rPr>
        <w:t xml:space="preserve"> </w:t>
      </w:r>
      <w:r>
        <w:rPr>
          <w:sz w:val="12"/>
        </w:rPr>
        <w:t>S</w:t>
      </w:r>
      <w:r w:rsidRPr="00727857">
        <w:rPr>
          <w:sz w:val="12"/>
        </w:rPr>
        <w:t>quid Monteith, Assistant Professor of Practice and Director of Debate at UNI. Digital debate as anti-Black; Examining governing policies through close textual analysis. Diss. 2023</w:t>
      </w:r>
    </w:p>
    <w:p w14:paraId="596363A6" w14:textId="77777777" w:rsidR="0066717D" w:rsidRPr="002C6E90" w:rsidRDefault="0066717D" w:rsidP="0066717D">
      <w:pPr>
        <w:rPr>
          <w:sz w:val="16"/>
        </w:rPr>
      </w:pPr>
      <w:r w:rsidRPr="002C6E90">
        <w:rPr>
          <w:sz w:val="16"/>
        </w:rPr>
        <w:t xml:space="preserve">Furthermore, the </w:t>
      </w:r>
      <w:r w:rsidRPr="002C6E90">
        <w:rPr>
          <w:rStyle w:val="StyleUnderline"/>
          <w:highlight w:val="cyan"/>
        </w:rPr>
        <w:t>critical thinking</w:t>
      </w:r>
      <w:r w:rsidRPr="002C6E90">
        <w:rPr>
          <w:rStyle w:val="StyleUnderline"/>
        </w:rPr>
        <w:t xml:space="preserve"> skills garnered from </w:t>
      </w:r>
      <w:r w:rsidRPr="002C6E90">
        <w:rPr>
          <w:rStyle w:val="StyleUnderline"/>
          <w:highlight w:val="cyan"/>
        </w:rPr>
        <w:t xml:space="preserve">debating </w:t>
      </w:r>
      <w:r w:rsidRPr="002C6E90">
        <w:rPr>
          <w:rStyle w:val="Emphasis"/>
          <w:highlight w:val="cyan"/>
        </w:rPr>
        <w:t>both sides</w:t>
      </w:r>
      <w:r w:rsidRPr="002C6E90">
        <w:rPr>
          <w:sz w:val="16"/>
        </w:rPr>
        <w:t xml:space="preserve"> of an argument, also known as switch side debate (SSD), </w:t>
      </w:r>
      <w:r w:rsidRPr="002C6E90">
        <w:rPr>
          <w:rStyle w:val="StyleUnderline"/>
          <w:highlight w:val="cyan"/>
        </w:rPr>
        <w:t>extend beyond</w:t>
      </w:r>
      <w:r w:rsidRPr="002C6E90">
        <w:rPr>
          <w:rStyle w:val="StyleUnderline"/>
        </w:rPr>
        <w:t xml:space="preserve"> the sphere of </w:t>
      </w:r>
      <w:r w:rsidRPr="002C6E90">
        <w:rPr>
          <w:rStyle w:val="StyleUnderline"/>
          <w:highlight w:val="cyan"/>
        </w:rPr>
        <w:t>competition</w:t>
      </w:r>
      <w:r w:rsidRPr="002C6E90">
        <w:rPr>
          <w:rStyle w:val="StyleUnderline"/>
        </w:rPr>
        <w:t xml:space="preserve"> within the activity</w:t>
      </w:r>
      <w:r w:rsidRPr="002C6E90">
        <w:rPr>
          <w:sz w:val="16"/>
        </w:rPr>
        <w:t xml:space="preserve">. The capacity for </w:t>
      </w:r>
      <w:r w:rsidRPr="002C6E90">
        <w:rPr>
          <w:rStyle w:val="StyleUnderline"/>
          <w:highlight w:val="cyan"/>
        </w:rPr>
        <w:t>students</w:t>
      </w:r>
      <w:r w:rsidRPr="002C6E90">
        <w:rPr>
          <w:rStyle w:val="StyleUnderline"/>
        </w:rPr>
        <w:t xml:space="preserve"> to </w:t>
      </w:r>
      <w:r w:rsidRPr="002C6E90">
        <w:rPr>
          <w:rStyle w:val="StyleUnderline"/>
          <w:highlight w:val="cyan"/>
        </w:rPr>
        <w:t>engage with civic processes</w:t>
      </w:r>
      <w:r w:rsidRPr="002C6E90">
        <w:rPr>
          <w:rStyle w:val="StyleUnderline"/>
        </w:rPr>
        <w:t xml:space="preserve"> and legislative procedures is arguably heightened when the student has experience in competitive policy debate</w:t>
      </w:r>
      <w:r w:rsidRPr="002C6E90">
        <w:rPr>
          <w:sz w:val="16"/>
        </w:rPr>
        <w:t xml:space="preserve"> (Hogan &amp; Kurr, 2017). This is because the focus on </w:t>
      </w:r>
      <w:r w:rsidRPr="002C6E90">
        <w:rPr>
          <w:rStyle w:val="Emphasis"/>
          <w:highlight w:val="cyan"/>
        </w:rPr>
        <w:t>iteratively</w:t>
      </w:r>
      <w:r w:rsidRPr="002C6E90">
        <w:rPr>
          <w:rStyle w:val="StyleUnderline"/>
          <w:highlight w:val="cyan"/>
        </w:rPr>
        <w:t xml:space="preserve"> testing methods</w:t>
      </w:r>
      <w:r w:rsidRPr="002C6E90">
        <w:rPr>
          <w:rStyle w:val="StyleUnderline"/>
        </w:rPr>
        <w:t xml:space="preserve"> that seek to address and provide solutions to pressing issues yields the capacity to formulate advocacies and situate their ideas for change within a larger schema of political actio</w:t>
      </w:r>
      <w:r w:rsidRPr="002C6E90">
        <w:rPr>
          <w:sz w:val="16"/>
        </w:rPr>
        <w:t xml:space="preserve">n (Hogan &amp; Kurr, 2017). This is further backed by the </w:t>
      </w:r>
      <w:r w:rsidRPr="002C6E90">
        <w:rPr>
          <w:rStyle w:val="StyleUnderline"/>
        </w:rPr>
        <w:t xml:space="preserve">rigorous, </w:t>
      </w:r>
      <w:r w:rsidRPr="002C6E90">
        <w:rPr>
          <w:rStyle w:val="Emphasis"/>
          <w:sz w:val="28"/>
          <w:szCs w:val="28"/>
          <w:highlight w:val="cyan"/>
        </w:rPr>
        <w:t>targeted</w:t>
      </w:r>
      <w:r w:rsidRPr="002C6E90">
        <w:rPr>
          <w:rStyle w:val="StyleUnderline"/>
          <w:highlight w:val="cyan"/>
        </w:rPr>
        <w:t xml:space="preserve">, and </w:t>
      </w:r>
      <w:r w:rsidRPr="002C6E90">
        <w:rPr>
          <w:rStyle w:val="Emphasis"/>
          <w:sz w:val="28"/>
          <w:szCs w:val="28"/>
          <w:highlight w:val="cyan"/>
        </w:rPr>
        <w:t>detailed</w:t>
      </w:r>
      <w:r w:rsidRPr="002C6E90">
        <w:rPr>
          <w:rStyle w:val="StyleUnderline"/>
          <w:highlight w:val="cyan"/>
        </w:rPr>
        <w:t xml:space="preserve"> research</w:t>
      </w:r>
      <w:r w:rsidRPr="002C6E90">
        <w:rPr>
          <w:rStyle w:val="StyleUnderline"/>
        </w:rPr>
        <w:t xml:space="preserve"> that debate seeks to produce</w:t>
      </w:r>
      <w:r w:rsidRPr="002C6E90">
        <w:rPr>
          <w:sz w:val="16"/>
        </w:rPr>
        <w:t xml:space="preserve">. The standard for quality evidence is consistently up for debate within the activity, but the ultimate desire to possess analysis that is accurate, detailed, specific, warranted, and written by a qualified author supported by a reputable institution drives students to seek the assumed best research (Cram, 2014). Collectively, the ability to critically think and engage with civic institutions by participating in a yearlong competition to find and deploy the best analysis backed by defensible evidence positions debate in the forefront of academic activities and results in administrative support at the middle school, high school, and post-secondary level. </w:t>
      </w:r>
    </w:p>
    <w:p w14:paraId="54F2B6FD" w14:textId="77777777" w:rsidR="0066717D" w:rsidRPr="009B48C7" w:rsidRDefault="0066717D" w:rsidP="0066717D">
      <w:pPr>
        <w:rPr>
          <w:sz w:val="16"/>
        </w:rPr>
      </w:pPr>
      <w:r w:rsidRPr="002C6E90">
        <w:rPr>
          <w:sz w:val="16"/>
        </w:rPr>
        <w:t xml:space="preserve"> As an activity tailored to building advocacy skills, students who participate in debate learn to defend their perspectives against opposition. Specifically, debaters conduct hours and hours of research to support their arguments and, in round, are tasked with using that research to respond to opponents’ arguments and further explain their position. The research alone is beneficial, but when combined with the back-and-forth responsiveness of debate, known as </w:t>
      </w:r>
      <w:r w:rsidRPr="002C6E90">
        <w:rPr>
          <w:rStyle w:val="StyleUnderline"/>
        </w:rPr>
        <w:t xml:space="preserve">clash, the </w:t>
      </w:r>
      <w:r w:rsidRPr="002C6E90">
        <w:rPr>
          <w:rStyle w:val="StyleUnderline"/>
          <w:highlight w:val="cyan"/>
        </w:rPr>
        <w:t>benefits to debate multiply</w:t>
      </w:r>
      <w:r w:rsidRPr="002C6E90">
        <w:rPr>
          <w:rStyle w:val="StyleUnderline"/>
        </w:rPr>
        <w:t xml:space="preserve"> as students learn to use their knowledge to </w:t>
      </w:r>
      <w:r w:rsidRPr="002C6E90">
        <w:rPr>
          <w:rStyle w:val="StyleUnderline"/>
          <w:highlight w:val="cyan"/>
        </w:rPr>
        <w:t>craft rebuttals</w:t>
      </w:r>
      <w:r w:rsidRPr="002C6E90">
        <w:rPr>
          <w:rStyle w:val="StyleUnderline"/>
        </w:rPr>
        <w:t xml:space="preserve"> to 18 opposing viewpoints and evidence</w:t>
      </w:r>
      <w:r w:rsidRPr="002C6E90">
        <w:rPr>
          <w:sz w:val="16"/>
        </w:rPr>
        <w:t xml:space="preserve">. The advocacy skills garnered through debate are beneficial because they </w:t>
      </w:r>
      <w:r w:rsidRPr="002C6E90">
        <w:rPr>
          <w:rStyle w:val="StyleUnderline"/>
        </w:rPr>
        <w:t xml:space="preserve">give students the </w:t>
      </w:r>
      <w:r w:rsidRPr="002C6E90">
        <w:rPr>
          <w:rStyle w:val="StyleUnderline"/>
          <w:highlight w:val="cyan"/>
        </w:rPr>
        <w:t>experience</w:t>
      </w:r>
      <w:r w:rsidRPr="002C6E90">
        <w:rPr>
          <w:rStyle w:val="StyleUnderline"/>
        </w:rPr>
        <w:t xml:space="preserve"> necessary </w:t>
      </w:r>
      <w:r w:rsidRPr="002C6E90">
        <w:rPr>
          <w:rStyle w:val="StyleUnderline"/>
          <w:highlight w:val="cyan"/>
        </w:rPr>
        <w:t xml:space="preserve">to </w:t>
      </w:r>
      <w:r w:rsidRPr="002C6E90">
        <w:rPr>
          <w:rStyle w:val="Emphasis"/>
          <w:highlight w:val="cyan"/>
        </w:rPr>
        <w:t>propose</w:t>
      </w:r>
      <w:r w:rsidRPr="002C6E90">
        <w:rPr>
          <w:rStyle w:val="StyleUnderline"/>
          <w:highlight w:val="cyan"/>
        </w:rPr>
        <w:t xml:space="preserve"> solutions and </w:t>
      </w:r>
      <w:r w:rsidRPr="002C6E90">
        <w:rPr>
          <w:rStyle w:val="Emphasis"/>
          <w:highlight w:val="cyan"/>
        </w:rPr>
        <w:t>criticize</w:t>
      </w:r>
      <w:r w:rsidRPr="002C6E90">
        <w:rPr>
          <w:rStyle w:val="StyleUnderline"/>
          <w:highlight w:val="cyan"/>
        </w:rPr>
        <w:t xml:space="preserve"> actions which affect them and their communities</w:t>
      </w:r>
      <w:r w:rsidRPr="002C6E90">
        <w:rPr>
          <w:sz w:val="16"/>
        </w:rPr>
        <w:t xml:space="preserve">. Many policymakers are former debaters, demonstrating the scope of advocacy skills fostered by policy debate (Hogan &amp; Kurr, 2017). </w:t>
      </w:r>
    </w:p>
    <w:p w14:paraId="38A871BA" w14:textId="77777777" w:rsidR="005D388F" w:rsidRPr="0066717D" w:rsidRDefault="005D388F" w:rsidP="0066717D"/>
    <w:sectPr w:rsidR="005D388F" w:rsidRPr="00667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1D24A" w14:textId="77777777" w:rsidR="00F05F9A" w:rsidRDefault="00F05F9A" w:rsidP="00066D2C">
      <w:pPr>
        <w:spacing w:after="0" w:line="240" w:lineRule="auto"/>
      </w:pPr>
      <w:r>
        <w:separator/>
      </w:r>
    </w:p>
  </w:endnote>
  <w:endnote w:type="continuationSeparator" w:id="0">
    <w:p w14:paraId="07FA64D8" w14:textId="77777777" w:rsidR="00F05F9A" w:rsidRDefault="00F05F9A"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F293D" w14:textId="77777777" w:rsidR="00F05F9A" w:rsidRDefault="00F05F9A" w:rsidP="00066D2C">
      <w:pPr>
        <w:spacing w:after="0" w:line="240" w:lineRule="auto"/>
      </w:pPr>
      <w:r>
        <w:separator/>
      </w:r>
    </w:p>
  </w:footnote>
  <w:footnote w:type="continuationSeparator" w:id="0">
    <w:p w14:paraId="1DC46DFA" w14:textId="77777777" w:rsidR="00F05F9A" w:rsidRDefault="00F05F9A"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4"/>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5020842928"/>
    <w:docVar w:name="VerbatimVersion" w:val="6.0.0"/>
    <w:docVar w:name="WordVersion" w:val="16.0"/>
  </w:docVars>
  <w:rsids>
    <w:rsidRoot w:val="00D64B1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08DF"/>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6717D"/>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07F2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07A7"/>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596"/>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16BD"/>
    <w:rsid w:val="0083258C"/>
    <w:rsid w:val="00833D6C"/>
    <w:rsid w:val="00841328"/>
    <w:rsid w:val="00841CCC"/>
    <w:rsid w:val="00844377"/>
    <w:rsid w:val="008443EF"/>
    <w:rsid w:val="00846F90"/>
    <w:rsid w:val="008500D4"/>
    <w:rsid w:val="00852FB9"/>
    <w:rsid w:val="008536B7"/>
    <w:rsid w:val="00860F34"/>
    <w:rsid w:val="00862AC4"/>
    <w:rsid w:val="0086319B"/>
    <w:rsid w:val="008674A6"/>
    <w:rsid w:val="0087210F"/>
    <w:rsid w:val="00874F9B"/>
    <w:rsid w:val="0087564D"/>
    <w:rsid w:val="00876000"/>
    <w:rsid w:val="0089108B"/>
    <w:rsid w:val="00892EE6"/>
    <w:rsid w:val="008931B4"/>
    <w:rsid w:val="008973A2"/>
    <w:rsid w:val="008A0E76"/>
    <w:rsid w:val="008A42FE"/>
    <w:rsid w:val="008A4F23"/>
    <w:rsid w:val="008A713B"/>
    <w:rsid w:val="008B48A3"/>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64B11"/>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066"/>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3AE4"/>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5F9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C5AC0"/>
  <w15:chartTrackingRefBased/>
  <w15:docId w15:val="{A3955192-6705-D242-ADFB-168D018C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6717D"/>
    <w:rPr>
      <w:rFonts w:ascii="Calibri" w:hAnsi="Calibri" w:cs="Calibri"/>
    </w:rPr>
  </w:style>
  <w:style w:type="paragraph" w:styleId="Heading1">
    <w:name w:val="heading 1"/>
    <w:aliases w:val="Pocket"/>
    <w:basedOn w:val="Normal"/>
    <w:next w:val="Normal"/>
    <w:link w:val="Heading1Char"/>
    <w:qFormat/>
    <w:rsid w:val="00D64B1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64B1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D64B1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TAG,Ch,no read,No Spacing211,No Spacing12,No Spacing2111,No Spacing4,No Spacing11111,No Spacing5,No Spacing21,Card,tags,No Spacing1111,ta,t,Ta"/>
    <w:basedOn w:val="Normal"/>
    <w:next w:val="Normal"/>
    <w:link w:val="Heading4Char"/>
    <w:uiPriority w:val="3"/>
    <w:qFormat/>
    <w:rsid w:val="00D64B1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D64B1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64B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4B11"/>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D64B1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64B11"/>
    <w:rPr>
      <w:color w:val="auto"/>
      <w:u w:val="none"/>
    </w:rPr>
  </w:style>
  <w:style w:type="character" w:customStyle="1" w:styleId="Heading1Char">
    <w:name w:val="Heading 1 Char"/>
    <w:aliases w:val="Pocket Char"/>
    <w:basedOn w:val="DefaultParagraphFont"/>
    <w:link w:val="Heading1"/>
    <w:rsid w:val="00D64B1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64B1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64B1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TAG Char,Ch Char,no read Char,No Spacing211 Char,No Spacing12 Char,No Spacing2111 Char"/>
    <w:basedOn w:val="DefaultParagraphFont"/>
    <w:link w:val="Heading4"/>
    <w:uiPriority w:val="3"/>
    <w:rsid w:val="00D64B1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D64B11"/>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7"/>
    <w:qFormat/>
    <w:rsid w:val="00D64B11"/>
    <w:rPr>
      <w:b w:val="0"/>
      <w:sz w:val="22"/>
      <w:u w:val="single"/>
    </w:rPr>
  </w:style>
  <w:style w:type="character" w:styleId="Strong">
    <w:name w:val="Strong"/>
    <w:basedOn w:val="DefaultParagraphFont"/>
    <w:uiPriority w:val="22"/>
    <w:semiHidden/>
    <w:qFormat/>
    <w:rsid w:val="00D64B11"/>
    <w:rPr>
      <w:b/>
      <w:bCs/>
    </w:rPr>
  </w:style>
  <w:style w:type="character" w:styleId="BookTitle">
    <w:name w:val="Book Title"/>
    <w:basedOn w:val="DefaultParagraphFont"/>
    <w:uiPriority w:val="33"/>
    <w:semiHidden/>
    <w:qFormat/>
    <w:rsid w:val="00D64B11"/>
    <w:rPr>
      <w:b/>
      <w:bCs/>
      <w:i/>
      <w:iCs/>
      <w:spacing w:val="5"/>
    </w:rPr>
  </w:style>
  <w:style w:type="character" w:customStyle="1" w:styleId="Heading5Char">
    <w:name w:val="Heading 5 Char"/>
    <w:basedOn w:val="DefaultParagraphFont"/>
    <w:link w:val="Heading5"/>
    <w:uiPriority w:val="9"/>
    <w:semiHidden/>
    <w:rsid w:val="00D64B1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D64B11"/>
  </w:style>
  <w:style w:type="paragraph" w:styleId="Header">
    <w:name w:val="header"/>
    <w:basedOn w:val="Normal"/>
    <w:link w:val="HeaderChar"/>
    <w:uiPriority w:val="99"/>
    <w:semiHidden/>
    <w:rsid w:val="00D64B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4B11"/>
    <w:rPr>
      <w:rFonts w:ascii="Calibri" w:hAnsi="Calibri" w:cs="Calibri"/>
    </w:rPr>
  </w:style>
  <w:style w:type="paragraph" w:styleId="Footer">
    <w:name w:val="footer"/>
    <w:basedOn w:val="Normal"/>
    <w:link w:val="FooterChar"/>
    <w:uiPriority w:val="99"/>
    <w:semiHidden/>
    <w:rsid w:val="00D64B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4B11"/>
    <w:rPr>
      <w:rFonts w:ascii="Calibri" w:hAnsi="Calibri" w:cs="Calibri"/>
    </w:rPr>
  </w:style>
  <w:style w:type="paragraph" w:styleId="BodyText">
    <w:name w:val="Body Text"/>
    <w:basedOn w:val="Normal"/>
    <w:link w:val="BodyTextChar"/>
    <w:uiPriority w:val="99"/>
    <w:semiHidden/>
    <w:unhideWhenUsed/>
    <w:rsid w:val="00D64B11"/>
    <w:pPr>
      <w:spacing w:after="120"/>
    </w:pPr>
  </w:style>
  <w:style w:type="character" w:customStyle="1" w:styleId="BodyTextChar">
    <w:name w:val="Body Text Char"/>
    <w:basedOn w:val="DefaultParagraphFont"/>
    <w:link w:val="BodyText"/>
    <w:uiPriority w:val="99"/>
    <w:semiHidden/>
    <w:rsid w:val="00D64B11"/>
    <w:rPr>
      <w:rFonts w:ascii="Calibri" w:hAnsi="Calibri" w:cs="Calibri"/>
    </w:rPr>
  </w:style>
  <w:style w:type="paragraph" w:styleId="NoSpacing">
    <w:name w:val="No Spacing"/>
    <w:link w:val="NoSpacingChar"/>
    <w:uiPriority w:val="99"/>
    <w:semiHidden/>
    <w:unhideWhenUsed/>
    <w:qFormat/>
    <w:rsid w:val="00D64B11"/>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D64B11"/>
    <w:rPr>
      <w:rFonts w:ascii="Calibri" w:hAnsi="Calibri" w:cs="Calibri"/>
    </w:rPr>
  </w:style>
  <w:style w:type="character" w:styleId="Hyperlink">
    <w:name w:val="Hyperlink"/>
    <w:basedOn w:val="DefaultParagraphFont"/>
    <w:uiPriority w:val="99"/>
    <w:unhideWhenUsed/>
    <w:rsid w:val="00D64B11"/>
    <w:rPr>
      <w:color w:val="0563C1" w:themeColor="hyperlink"/>
      <w:u w:val="single"/>
    </w:rPr>
  </w:style>
  <w:style w:type="character" w:styleId="UnresolvedMention">
    <w:name w:val="Unresolved Mention"/>
    <w:basedOn w:val="DefaultParagraphFont"/>
    <w:uiPriority w:val="99"/>
    <w:semiHidden/>
    <w:unhideWhenUsed/>
    <w:rsid w:val="00D64B11"/>
    <w:rPr>
      <w:color w:val="605E5C"/>
      <w:shd w:val="clear" w:color="auto" w:fill="E1DFDD"/>
    </w:rPr>
  </w:style>
  <w:style w:type="paragraph" w:customStyle="1" w:styleId="textbold">
    <w:name w:val="text bold"/>
    <w:basedOn w:val="Normal"/>
    <w:link w:val="Emphasis"/>
    <w:uiPriority w:val="8"/>
    <w:qFormat/>
    <w:rsid w:val="0066717D"/>
    <w:pPr>
      <w:pBdr>
        <w:top w:val="single" w:sz="4" w:space="0" w:color="auto"/>
        <w:left w:val="single" w:sz="4" w:space="0" w:color="auto"/>
        <w:bottom w:val="single" w:sz="4" w:space="0" w:color="auto"/>
        <w:right w:val="single" w:sz="4" w:space="0"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1</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Gallagher</dc:creator>
  <cp:keywords>6.0.0</cp:keywords>
  <dc:description/>
  <cp:lastModifiedBy>Dan Gallagher</cp:lastModifiedBy>
  <cp:revision>1</cp:revision>
  <dcterms:created xsi:type="dcterms:W3CDTF">2025-09-24T17:47:00Z</dcterms:created>
  <dcterms:modified xsi:type="dcterms:W3CDTF">2025-09-24T19:41:00Z</dcterms:modified>
</cp:coreProperties>
</file>